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BDD" w:rsidRDefault="00826BDD" w:rsidP="00826BDD">
      <w:pPr>
        <w:jc w:val="center"/>
        <w:rPr>
          <w:rFonts w:ascii="Times New Roman" w:hAnsi="Times New Roman" w:cs="Times New Roman"/>
          <w:sz w:val="24"/>
          <w:szCs w:val="24"/>
        </w:rPr>
      </w:pPr>
      <w:r>
        <w:rPr>
          <w:rFonts w:ascii="Times New Roman" w:hAnsi="Times New Roman" w:cs="Times New Roman"/>
          <w:b/>
          <w:sz w:val="24"/>
          <w:szCs w:val="24"/>
        </w:rPr>
        <w:t>MEMORANDUM FOR THE RECORD</w:t>
      </w:r>
    </w:p>
    <w:p w:rsidR="00826BDD" w:rsidRDefault="00826BDD" w:rsidP="006D1F2E">
      <w:pPr>
        <w:tabs>
          <w:tab w:val="left" w:pos="0"/>
        </w:tabs>
        <w:rPr>
          <w:rFonts w:ascii="Times New Roman" w:hAnsi="Times New Roman" w:cs="Times New Roman"/>
          <w:sz w:val="24"/>
          <w:szCs w:val="24"/>
        </w:rPr>
      </w:pPr>
      <w:r>
        <w:rPr>
          <w:rFonts w:ascii="Times New Roman" w:hAnsi="Times New Roman" w:cs="Times New Roman"/>
          <w:sz w:val="24"/>
          <w:szCs w:val="24"/>
          <w:u w:val="single"/>
        </w:rPr>
        <w:t>Event</w:t>
      </w:r>
      <w:r>
        <w:rPr>
          <w:rFonts w:ascii="Times New Roman" w:hAnsi="Times New Roman" w:cs="Times New Roman"/>
          <w:sz w:val="24"/>
          <w:szCs w:val="24"/>
        </w:rPr>
        <w:t>:</w:t>
      </w:r>
      <w:r>
        <w:rPr>
          <w:rFonts w:ascii="Times New Roman" w:hAnsi="Times New Roman" w:cs="Times New Roman"/>
          <w:sz w:val="24"/>
          <w:szCs w:val="24"/>
        </w:rPr>
        <w:tab/>
        <w:t>Michael Greenberger, Professor, University of Maryland School of Law; former Director, Division of Trading and Markets, Commodity Futures Trading Commission (1997-1999)</w:t>
      </w:r>
    </w:p>
    <w:p w:rsidR="00826BDD" w:rsidRDefault="00826BDD" w:rsidP="00826BDD">
      <w:pPr>
        <w:rPr>
          <w:rFonts w:ascii="Times New Roman" w:hAnsi="Times New Roman" w:cs="Times New Roman"/>
          <w:sz w:val="24"/>
          <w:szCs w:val="24"/>
        </w:rPr>
      </w:pPr>
      <w:r>
        <w:rPr>
          <w:rFonts w:ascii="Times New Roman" w:hAnsi="Times New Roman" w:cs="Times New Roman"/>
          <w:sz w:val="24"/>
          <w:szCs w:val="24"/>
          <w:u w:val="single"/>
        </w:rPr>
        <w:t>Type of Event</w:t>
      </w:r>
      <w:r w:rsidR="006D1F2E">
        <w:rPr>
          <w:rFonts w:ascii="Times New Roman" w:hAnsi="Times New Roman" w:cs="Times New Roman"/>
          <w:sz w:val="24"/>
          <w:szCs w:val="24"/>
        </w:rPr>
        <w:t>:</w:t>
      </w:r>
      <w:r w:rsidR="006D1F2E">
        <w:rPr>
          <w:rFonts w:ascii="Times New Roman" w:hAnsi="Times New Roman" w:cs="Times New Roman"/>
          <w:sz w:val="24"/>
          <w:szCs w:val="24"/>
        </w:rPr>
        <w:tab/>
        <w:t xml:space="preserve"> </w:t>
      </w:r>
      <w:r>
        <w:rPr>
          <w:rFonts w:ascii="Times New Roman" w:hAnsi="Times New Roman" w:cs="Times New Roman"/>
          <w:sz w:val="24"/>
          <w:szCs w:val="24"/>
        </w:rPr>
        <w:t>Interview</w:t>
      </w:r>
    </w:p>
    <w:p w:rsidR="00826BDD" w:rsidRDefault="00826BDD" w:rsidP="00826BDD">
      <w:pPr>
        <w:rPr>
          <w:rFonts w:ascii="Times New Roman" w:hAnsi="Times New Roman" w:cs="Times New Roman"/>
          <w:sz w:val="24"/>
          <w:szCs w:val="24"/>
        </w:rPr>
      </w:pPr>
      <w:r>
        <w:rPr>
          <w:rFonts w:ascii="Times New Roman" w:hAnsi="Times New Roman" w:cs="Times New Roman"/>
          <w:sz w:val="24"/>
          <w:szCs w:val="24"/>
          <w:u w:val="single"/>
        </w:rPr>
        <w:t>Date of Event</w:t>
      </w:r>
      <w:r w:rsidR="006D1F2E">
        <w:rPr>
          <w:rFonts w:ascii="Times New Roman" w:hAnsi="Times New Roman" w:cs="Times New Roman"/>
          <w:sz w:val="24"/>
          <w:szCs w:val="24"/>
        </w:rPr>
        <w:t>:</w:t>
      </w:r>
      <w:r w:rsidR="006D1F2E">
        <w:rPr>
          <w:rFonts w:ascii="Times New Roman" w:hAnsi="Times New Roman" w:cs="Times New Roman"/>
          <w:sz w:val="24"/>
          <w:szCs w:val="24"/>
        </w:rPr>
        <w:tab/>
        <w:t xml:space="preserve"> </w:t>
      </w:r>
      <w:r>
        <w:rPr>
          <w:rFonts w:ascii="Times New Roman" w:hAnsi="Times New Roman" w:cs="Times New Roman"/>
          <w:sz w:val="24"/>
          <w:szCs w:val="24"/>
        </w:rPr>
        <w:t>February 25, 2010</w:t>
      </w:r>
    </w:p>
    <w:p w:rsidR="00826BDD" w:rsidRDefault="00826BDD" w:rsidP="00826BDD">
      <w:pPr>
        <w:rPr>
          <w:rFonts w:ascii="Times New Roman" w:hAnsi="Times New Roman" w:cs="Times New Roman"/>
          <w:sz w:val="24"/>
          <w:szCs w:val="24"/>
        </w:rPr>
      </w:pPr>
      <w:r>
        <w:rPr>
          <w:rFonts w:ascii="Times New Roman" w:hAnsi="Times New Roman" w:cs="Times New Roman"/>
          <w:sz w:val="24"/>
          <w:szCs w:val="24"/>
          <w:u w:val="single"/>
        </w:rPr>
        <w:t>Team Leader</w:t>
      </w:r>
      <w:r>
        <w:rPr>
          <w:rFonts w:ascii="Times New Roman" w:hAnsi="Times New Roman" w:cs="Times New Roman"/>
          <w:sz w:val="24"/>
          <w:szCs w:val="24"/>
        </w:rPr>
        <w:t>:</w:t>
      </w:r>
      <w:r>
        <w:rPr>
          <w:rFonts w:ascii="Times New Roman" w:hAnsi="Times New Roman" w:cs="Times New Roman"/>
          <w:sz w:val="24"/>
          <w:szCs w:val="24"/>
        </w:rPr>
        <w:tab/>
        <w:t>Chris Seefer</w:t>
      </w:r>
    </w:p>
    <w:p w:rsidR="00826BDD" w:rsidRDefault="00826BDD" w:rsidP="00826BDD">
      <w:pPr>
        <w:rPr>
          <w:rFonts w:ascii="Times New Roman" w:hAnsi="Times New Roman" w:cs="Times New Roman"/>
          <w:sz w:val="24"/>
          <w:szCs w:val="24"/>
        </w:rPr>
      </w:pPr>
      <w:r>
        <w:rPr>
          <w:rFonts w:ascii="Times New Roman" w:hAnsi="Times New Roman" w:cs="Times New Roman"/>
          <w:sz w:val="24"/>
          <w:szCs w:val="24"/>
          <w:u w:val="single"/>
        </w:rPr>
        <w:t>Location</w:t>
      </w:r>
      <w:r w:rsidR="006D1F2E">
        <w:rPr>
          <w:rFonts w:ascii="Times New Roman" w:hAnsi="Times New Roman" w:cs="Times New Roman"/>
          <w:sz w:val="24"/>
          <w:szCs w:val="24"/>
        </w:rPr>
        <w:t xml:space="preserve">: </w:t>
      </w:r>
      <w:r>
        <w:rPr>
          <w:rFonts w:ascii="Times New Roman" w:hAnsi="Times New Roman" w:cs="Times New Roman"/>
          <w:sz w:val="24"/>
          <w:szCs w:val="24"/>
        </w:rPr>
        <w:t>FCIC, Large Conference Room</w:t>
      </w:r>
    </w:p>
    <w:p w:rsidR="00826BDD" w:rsidRDefault="00826BDD" w:rsidP="00826BDD">
      <w:pPr>
        <w:rPr>
          <w:rFonts w:ascii="Times New Roman" w:hAnsi="Times New Roman" w:cs="Times New Roman"/>
          <w:sz w:val="24"/>
          <w:szCs w:val="24"/>
        </w:rPr>
      </w:pPr>
      <w:r>
        <w:rPr>
          <w:rFonts w:ascii="Times New Roman" w:hAnsi="Times New Roman" w:cs="Times New Roman"/>
          <w:sz w:val="24"/>
          <w:szCs w:val="24"/>
          <w:u w:val="single"/>
        </w:rPr>
        <w:t>Participants – Non-Commission</w:t>
      </w:r>
      <w:r w:rsidR="006D1F2E">
        <w:rPr>
          <w:rFonts w:ascii="Times New Roman" w:hAnsi="Times New Roman" w:cs="Times New Roman"/>
          <w:sz w:val="24"/>
          <w:szCs w:val="24"/>
        </w:rPr>
        <w:t xml:space="preserve">: </w:t>
      </w:r>
      <w:r>
        <w:rPr>
          <w:rFonts w:ascii="Times New Roman" w:hAnsi="Times New Roman" w:cs="Times New Roman"/>
          <w:sz w:val="24"/>
          <w:szCs w:val="24"/>
        </w:rPr>
        <w:t>Professor Michael Greenberger</w:t>
      </w:r>
    </w:p>
    <w:p w:rsidR="00826BDD" w:rsidRDefault="00826BDD" w:rsidP="00826BDD">
      <w:pPr>
        <w:rPr>
          <w:rFonts w:ascii="Times New Roman" w:hAnsi="Times New Roman" w:cs="Times New Roman"/>
          <w:sz w:val="24"/>
          <w:szCs w:val="24"/>
        </w:rPr>
      </w:pPr>
      <w:r>
        <w:rPr>
          <w:rFonts w:ascii="Times New Roman" w:hAnsi="Times New Roman" w:cs="Times New Roman"/>
          <w:sz w:val="24"/>
          <w:szCs w:val="24"/>
          <w:u w:val="single"/>
        </w:rPr>
        <w:t>Participants – Commission</w:t>
      </w:r>
      <w:r w:rsidR="006D1F2E">
        <w:rPr>
          <w:rFonts w:ascii="Times New Roman" w:hAnsi="Times New Roman" w:cs="Times New Roman"/>
          <w:sz w:val="24"/>
          <w:szCs w:val="24"/>
        </w:rPr>
        <w:t xml:space="preserve">: </w:t>
      </w:r>
      <w:r>
        <w:rPr>
          <w:rFonts w:ascii="Times New Roman" w:hAnsi="Times New Roman" w:cs="Times New Roman"/>
          <w:sz w:val="24"/>
          <w:szCs w:val="24"/>
        </w:rPr>
        <w:t>Commissioner Brooksley Born, Chris Seefer, Dixie Noonan</w:t>
      </w:r>
    </w:p>
    <w:p w:rsidR="00826BDD" w:rsidRDefault="00826BDD" w:rsidP="00826BDD">
      <w:pPr>
        <w:rPr>
          <w:rFonts w:ascii="Times New Roman" w:hAnsi="Times New Roman" w:cs="Times New Roman"/>
          <w:sz w:val="24"/>
          <w:szCs w:val="24"/>
        </w:rPr>
      </w:pPr>
      <w:r>
        <w:rPr>
          <w:rFonts w:ascii="Times New Roman" w:hAnsi="Times New Roman" w:cs="Times New Roman"/>
          <w:sz w:val="24"/>
          <w:szCs w:val="24"/>
          <w:u w:val="single"/>
        </w:rPr>
        <w:t>MFR Prepared By</w:t>
      </w:r>
      <w:r>
        <w:rPr>
          <w:rFonts w:ascii="Times New Roman" w:hAnsi="Times New Roman" w:cs="Times New Roman"/>
          <w:sz w:val="24"/>
          <w:szCs w:val="24"/>
        </w:rPr>
        <w:t>:</w:t>
      </w:r>
      <w:r w:rsidR="006D1F2E">
        <w:rPr>
          <w:rFonts w:ascii="Times New Roman" w:hAnsi="Times New Roman" w:cs="Times New Roman"/>
          <w:sz w:val="24"/>
          <w:szCs w:val="24"/>
        </w:rPr>
        <w:t xml:space="preserve"> </w:t>
      </w:r>
      <w:r>
        <w:rPr>
          <w:rFonts w:ascii="Times New Roman" w:hAnsi="Times New Roman" w:cs="Times New Roman"/>
          <w:sz w:val="24"/>
          <w:szCs w:val="24"/>
        </w:rPr>
        <w:t>Dixie Noonan</w:t>
      </w:r>
    </w:p>
    <w:p w:rsidR="00826BDD" w:rsidRDefault="00826BDD" w:rsidP="00826BDD">
      <w:pPr>
        <w:rPr>
          <w:rFonts w:ascii="Times New Roman" w:hAnsi="Times New Roman" w:cs="Times New Roman"/>
          <w:sz w:val="24"/>
          <w:szCs w:val="24"/>
        </w:rPr>
      </w:pPr>
      <w:r>
        <w:rPr>
          <w:rFonts w:ascii="Times New Roman" w:hAnsi="Times New Roman" w:cs="Times New Roman"/>
          <w:sz w:val="24"/>
          <w:szCs w:val="24"/>
          <w:u w:val="single"/>
        </w:rPr>
        <w:t>Date of MFR</w:t>
      </w:r>
      <w:r w:rsidR="006D1F2E">
        <w:rPr>
          <w:rFonts w:ascii="Times New Roman" w:hAnsi="Times New Roman" w:cs="Times New Roman"/>
          <w:sz w:val="24"/>
          <w:szCs w:val="24"/>
        </w:rPr>
        <w:t>:</w:t>
      </w:r>
      <w:r w:rsidR="006D1F2E">
        <w:rPr>
          <w:rFonts w:ascii="Times New Roman" w:hAnsi="Times New Roman" w:cs="Times New Roman"/>
          <w:sz w:val="24"/>
          <w:szCs w:val="24"/>
        </w:rPr>
        <w:tab/>
        <w:t xml:space="preserve"> </w:t>
      </w:r>
      <w:r>
        <w:rPr>
          <w:rFonts w:ascii="Times New Roman" w:hAnsi="Times New Roman" w:cs="Times New Roman"/>
          <w:sz w:val="24"/>
          <w:szCs w:val="24"/>
        </w:rPr>
        <w:t>March 5, 2010</w:t>
      </w:r>
    </w:p>
    <w:p w:rsidR="00826BDD" w:rsidRDefault="00826BDD" w:rsidP="00826BDD">
      <w:pPr>
        <w:rPr>
          <w:rFonts w:ascii="Times New Roman" w:hAnsi="Times New Roman" w:cs="Times New Roman"/>
          <w:sz w:val="24"/>
          <w:szCs w:val="24"/>
        </w:rPr>
      </w:pPr>
      <w:r>
        <w:rPr>
          <w:rFonts w:ascii="Times New Roman" w:hAnsi="Times New Roman" w:cs="Times New Roman"/>
          <w:sz w:val="24"/>
          <w:szCs w:val="24"/>
          <w:u w:val="single"/>
        </w:rPr>
        <w:t>Summary of the Interview</w:t>
      </w:r>
      <w:r>
        <w:rPr>
          <w:rFonts w:ascii="Times New Roman" w:hAnsi="Times New Roman" w:cs="Times New Roman"/>
          <w:sz w:val="24"/>
          <w:szCs w:val="24"/>
        </w:rPr>
        <w:t>:</w:t>
      </w:r>
    </w:p>
    <w:p w:rsidR="006D1F2E" w:rsidRPr="006D1F2E" w:rsidRDefault="006D1F2E" w:rsidP="006D1F2E">
      <w:pPr>
        <w:spacing w:after="0" w:line="240" w:lineRule="auto"/>
        <w:rPr>
          <w:rFonts w:ascii="Times New Roman" w:hAnsi="Times New Roman" w:cs="Times New Roman"/>
          <w:color w:val="FF0000"/>
          <w:sz w:val="24"/>
          <w:szCs w:val="24"/>
        </w:rPr>
      </w:pPr>
      <w:r w:rsidRPr="006D1F2E">
        <w:rPr>
          <w:rFonts w:ascii="Times New Roman" w:hAnsi="Times New Roman" w:cs="Times New Roman"/>
          <w:b/>
          <w:color w:val="FF0000"/>
          <w:sz w:val="24"/>
          <w:szCs w:val="24"/>
        </w:rPr>
        <w:t xml:space="preserve">This is a paraphrasing of the interview dialogue and is </w:t>
      </w:r>
      <w:r w:rsidRPr="006D1F2E">
        <w:rPr>
          <w:rFonts w:ascii="Times New Roman" w:hAnsi="Times New Roman" w:cs="Times New Roman"/>
          <w:b/>
          <w:color w:val="FF0000"/>
          <w:sz w:val="24"/>
          <w:szCs w:val="24"/>
          <w:u w:val="single"/>
        </w:rPr>
        <w:t>not a transcript</w:t>
      </w:r>
      <w:r w:rsidRPr="006D1F2E">
        <w:rPr>
          <w:rFonts w:ascii="Times New Roman" w:hAnsi="Times New Roman" w:cs="Times New Roman"/>
          <w:b/>
          <w:color w:val="FF0000"/>
          <w:sz w:val="24"/>
          <w:szCs w:val="24"/>
        </w:rPr>
        <w:t xml:space="preserve"> and should not be quoted as such.</w:t>
      </w:r>
    </w:p>
    <w:p w:rsidR="006D1F2E" w:rsidRPr="006D1F2E" w:rsidRDefault="006D1F2E" w:rsidP="006D1F2E">
      <w:pPr>
        <w:spacing w:after="0" w:line="240" w:lineRule="auto"/>
        <w:rPr>
          <w:rFonts w:ascii="Times New Roman" w:hAnsi="Times New Roman" w:cs="Times New Roman"/>
          <w:sz w:val="24"/>
          <w:szCs w:val="24"/>
        </w:rPr>
      </w:pPr>
    </w:p>
    <w:p w:rsidR="00A94199" w:rsidRDefault="00A94199" w:rsidP="00FF105E">
      <w:pPr>
        <w:ind w:firstLine="720"/>
        <w:rPr>
          <w:rFonts w:ascii="Times New Roman" w:hAnsi="Times New Roman" w:cs="Times New Roman"/>
          <w:sz w:val="24"/>
          <w:szCs w:val="24"/>
        </w:rPr>
      </w:pPr>
      <w:r>
        <w:rPr>
          <w:rFonts w:ascii="Times New Roman" w:hAnsi="Times New Roman" w:cs="Times New Roman"/>
          <w:sz w:val="24"/>
          <w:szCs w:val="24"/>
        </w:rPr>
        <w:t xml:space="preserve">In January 2009, the UN </w:t>
      </w:r>
      <w:r w:rsidR="00FF105E">
        <w:rPr>
          <w:rFonts w:ascii="Times New Roman" w:hAnsi="Times New Roman" w:cs="Times New Roman"/>
          <w:sz w:val="24"/>
          <w:szCs w:val="24"/>
        </w:rPr>
        <w:t>“think group” regarding worldwide regulation of derivatives met.  Prof. Greenberger debated two representatives from the United Kingdom who did not think that credit default swaps (CDS) were a problem.  At the dinner that evening, George Soros spoke and said that CDS was to blame for the crisis.</w:t>
      </w:r>
    </w:p>
    <w:p w:rsidR="00FF105E" w:rsidRDefault="00FF105E" w:rsidP="00FF105E">
      <w:pPr>
        <w:ind w:firstLine="720"/>
        <w:rPr>
          <w:rFonts w:ascii="Times New Roman" w:hAnsi="Times New Roman" w:cs="Times New Roman"/>
          <w:sz w:val="24"/>
          <w:szCs w:val="24"/>
        </w:rPr>
      </w:pPr>
      <w:r>
        <w:rPr>
          <w:rFonts w:ascii="Times New Roman" w:hAnsi="Times New Roman" w:cs="Times New Roman"/>
          <w:sz w:val="24"/>
          <w:szCs w:val="24"/>
        </w:rPr>
        <w:t xml:space="preserve">The problem in Greece and Southern Europe is a currency swap problem, aggravated by CDS.  Goldman Sachs is now actively marketing CDS on Greece (see Financial Times article dated February 24 or 25, 2010 re: this).  Banks using currency swaps to provide short-term benefits with huge long term obligations to countries.  </w:t>
      </w:r>
      <w:r w:rsidR="005401D3">
        <w:rPr>
          <w:rFonts w:ascii="Times New Roman" w:hAnsi="Times New Roman" w:cs="Times New Roman"/>
          <w:sz w:val="24"/>
          <w:szCs w:val="24"/>
        </w:rPr>
        <w:t>According</w:t>
      </w:r>
      <w:r>
        <w:rPr>
          <w:rFonts w:ascii="Times New Roman" w:hAnsi="Times New Roman" w:cs="Times New Roman"/>
          <w:sz w:val="24"/>
          <w:szCs w:val="24"/>
        </w:rPr>
        <w:t xml:space="preserve"> to Satyajit Das (see his FT article, “Greek window dressing puts derivatives’ role on full display,” Feb. 18, 2010), these swaps are preloaded so that the nonbank counterparty gets a good deal up front.</w:t>
      </w:r>
    </w:p>
    <w:p w:rsidR="00FF105E" w:rsidRDefault="00FF105E" w:rsidP="00FF105E">
      <w:pPr>
        <w:ind w:firstLine="720"/>
        <w:rPr>
          <w:rFonts w:ascii="Times New Roman" w:hAnsi="Times New Roman" w:cs="Times New Roman"/>
          <w:sz w:val="24"/>
          <w:szCs w:val="24"/>
        </w:rPr>
      </w:pPr>
      <w:r>
        <w:rPr>
          <w:rFonts w:ascii="Times New Roman" w:hAnsi="Times New Roman" w:cs="Times New Roman"/>
          <w:sz w:val="24"/>
          <w:szCs w:val="24"/>
        </w:rPr>
        <w:t xml:space="preserve">Gerry Corrigan testified to Parliament recently that these currency swaps were done in secret.  Currency swaps were really </w:t>
      </w:r>
      <w:r>
        <w:rPr>
          <w:rFonts w:ascii="Times New Roman" w:hAnsi="Times New Roman" w:cs="Times New Roman"/>
          <w:i/>
          <w:sz w:val="24"/>
          <w:szCs w:val="24"/>
          <w:u w:val="single"/>
        </w:rPr>
        <w:t>disguised loans</w:t>
      </w:r>
      <w:r>
        <w:rPr>
          <w:rFonts w:ascii="Times New Roman" w:hAnsi="Times New Roman" w:cs="Times New Roman"/>
          <w:sz w:val="24"/>
          <w:szCs w:val="24"/>
        </w:rPr>
        <w:t>, where the bank paid the counterparty LIBOR + 3% for the first 2 years and then the counterparty pays the bank back later.</w:t>
      </w:r>
    </w:p>
    <w:p w:rsidR="00247E1F" w:rsidRDefault="00247E1F" w:rsidP="00247E1F">
      <w:pPr>
        <w:ind w:firstLine="720"/>
        <w:rPr>
          <w:rFonts w:ascii="Times New Roman" w:hAnsi="Times New Roman" w:cs="Times New Roman"/>
          <w:sz w:val="24"/>
          <w:szCs w:val="24"/>
        </w:rPr>
      </w:pPr>
      <w:r>
        <w:rPr>
          <w:rFonts w:ascii="Times New Roman" w:hAnsi="Times New Roman" w:cs="Times New Roman"/>
          <w:sz w:val="24"/>
          <w:szCs w:val="24"/>
        </w:rPr>
        <w:t>The City of Los Angeles has a problem now, because it swapped adjustable rates for fixed and now it’s on the losing end of that bet.</w:t>
      </w:r>
    </w:p>
    <w:p w:rsidR="00FF105E" w:rsidRDefault="00FF105E" w:rsidP="00FF105E">
      <w:pPr>
        <w:ind w:firstLine="720"/>
        <w:rPr>
          <w:rFonts w:ascii="Times New Roman" w:hAnsi="Times New Roman" w:cs="Times New Roman"/>
          <w:sz w:val="24"/>
          <w:szCs w:val="24"/>
        </w:rPr>
      </w:pPr>
      <w:r>
        <w:rPr>
          <w:rFonts w:ascii="Times New Roman" w:hAnsi="Times New Roman" w:cs="Times New Roman"/>
          <w:sz w:val="24"/>
          <w:szCs w:val="24"/>
        </w:rPr>
        <w:lastRenderedPageBreak/>
        <w:t>There has been exponential growth in the notional amount of over-the-counter (OTC) derivatives since Prof. Greenberger and Commissioner Born first started working on this in 1997 and 1998.  The notional amount went from $35 trillion to $60 trillion at the time of the crisis.  [?]</w:t>
      </w:r>
    </w:p>
    <w:p w:rsidR="004E352B" w:rsidRDefault="004E352B" w:rsidP="00FF105E">
      <w:pPr>
        <w:ind w:firstLine="720"/>
        <w:rPr>
          <w:rFonts w:ascii="Times New Roman" w:hAnsi="Times New Roman" w:cs="Times New Roman"/>
          <w:sz w:val="24"/>
          <w:szCs w:val="24"/>
        </w:rPr>
      </w:pPr>
      <w:r>
        <w:rPr>
          <w:rFonts w:ascii="Times New Roman" w:hAnsi="Times New Roman" w:cs="Times New Roman"/>
          <w:sz w:val="24"/>
          <w:szCs w:val="24"/>
        </w:rPr>
        <w:t>The International Swaps and Derivatives Association (ISDA) has 825 member banks.  Now 5 U.S. banks are the largest swaps dealers.</w:t>
      </w:r>
    </w:p>
    <w:p w:rsidR="00795665" w:rsidRDefault="00795665" w:rsidP="00795665">
      <w:pPr>
        <w:ind w:firstLine="720"/>
        <w:rPr>
          <w:rFonts w:ascii="Times New Roman" w:hAnsi="Times New Roman" w:cs="Times New Roman"/>
          <w:sz w:val="24"/>
          <w:szCs w:val="24"/>
        </w:rPr>
      </w:pPr>
      <w:r>
        <w:rPr>
          <w:rFonts w:ascii="Times New Roman" w:hAnsi="Times New Roman" w:cs="Times New Roman"/>
          <w:sz w:val="24"/>
          <w:szCs w:val="24"/>
        </w:rPr>
        <w:t xml:space="preserve">Notional amount vs. amount at risk – “Notional” includes amounts that really aren’t at risk.  In an interest rate swap, “notional amount” is the value of the underlying loan (i.e., the principal).  For CDS, this comes together and notional amount is the same as the amount at risk. </w:t>
      </w:r>
    </w:p>
    <w:p w:rsidR="00795665" w:rsidRDefault="00795665" w:rsidP="00795665">
      <w:pPr>
        <w:ind w:firstLine="720"/>
        <w:rPr>
          <w:rFonts w:ascii="Times New Roman" w:hAnsi="Times New Roman" w:cs="Times New Roman"/>
          <w:sz w:val="24"/>
          <w:szCs w:val="24"/>
        </w:rPr>
      </w:pPr>
      <w:r>
        <w:rPr>
          <w:rFonts w:ascii="Times New Roman" w:hAnsi="Times New Roman" w:cs="Times New Roman"/>
          <w:sz w:val="24"/>
          <w:szCs w:val="24"/>
        </w:rPr>
        <w:t>Swaps were deregulated under the CFMA.</w:t>
      </w:r>
    </w:p>
    <w:p w:rsidR="00795665" w:rsidRDefault="00795665" w:rsidP="00795665">
      <w:pPr>
        <w:ind w:firstLine="720"/>
        <w:rPr>
          <w:rFonts w:ascii="Times New Roman" w:hAnsi="Times New Roman" w:cs="Times New Roman"/>
          <w:sz w:val="24"/>
          <w:szCs w:val="24"/>
        </w:rPr>
      </w:pPr>
      <w:r>
        <w:rPr>
          <w:rFonts w:ascii="Times New Roman" w:hAnsi="Times New Roman" w:cs="Times New Roman"/>
          <w:sz w:val="24"/>
          <w:szCs w:val="24"/>
        </w:rPr>
        <w:t>Dinallo (NY Insurance Superintendent) and NY Governor – 2008 – Directive – starting January 2009, CDS would be regulated as insurance.</w:t>
      </w:r>
      <w:r w:rsidR="00383646">
        <w:rPr>
          <w:rFonts w:ascii="Times New Roman" w:hAnsi="Times New Roman" w:cs="Times New Roman"/>
          <w:sz w:val="24"/>
          <w:szCs w:val="24"/>
        </w:rPr>
        <w:t xml:space="preserve">  World clamored, and six weeks later they withdrew the directive, saying the Feds were going to do something.  </w:t>
      </w:r>
    </w:p>
    <w:p w:rsidR="00383646" w:rsidRDefault="00383646" w:rsidP="00795665">
      <w:pPr>
        <w:ind w:firstLine="720"/>
        <w:rPr>
          <w:rFonts w:ascii="Times New Roman" w:hAnsi="Times New Roman" w:cs="Times New Roman"/>
          <w:sz w:val="24"/>
          <w:szCs w:val="24"/>
        </w:rPr>
      </w:pPr>
      <w:r>
        <w:rPr>
          <w:rFonts w:ascii="Times New Roman" w:hAnsi="Times New Roman" w:cs="Times New Roman"/>
          <w:sz w:val="24"/>
          <w:szCs w:val="24"/>
        </w:rPr>
        <w:t>HR4173 – preempts state insurance law.</w:t>
      </w:r>
    </w:p>
    <w:p w:rsidR="00383646" w:rsidRDefault="00383646" w:rsidP="00795665">
      <w:pPr>
        <w:ind w:firstLine="720"/>
        <w:rPr>
          <w:rFonts w:ascii="Times New Roman" w:hAnsi="Times New Roman" w:cs="Times New Roman"/>
          <w:sz w:val="24"/>
          <w:szCs w:val="24"/>
        </w:rPr>
      </w:pPr>
      <w:r>
        <w:rPr>
          <w:rFonts w:ascii="Times New Roman" w:hAnsi="Times New Roman" w:cs="Times New Roman"/>
          <w:sz w:val="24"/>
          <w:szCs w:val="24"/>
        </w:rPr>
        <w:t>National Council of Insurance Regulators is drafting a model insurance code re: CDS.</w:t>
      </w:r>
    </w:p>
    <w:p w:rsidR="00383646" w:rsidRDefault="00383646" w:rsidP="00795665">
      <w:pPr>
        <w:ind w:firstLine="720"/>
        <w:rPr>
          <w:rFonts w:ascii="Times New Roman" w:hAnsi="Times New Roman" w:cs="Times New Roman"/>
          <w:sz w:val="24"/>
          <w:szCs w:val="24"/>
        </w:rPr>
      </w:pPr>
      <w:r>
        <w:rPr>
          <w:rFonts w:ascii="Times New Roman" w:hAnsi="Times New Roman" w:cs="Times New Roman"/>
          <w:sz w:val="24"/>
          <w:szCs w:val="24"/>
        </w:rPr>
        <w:t xml:space="preserve">With CDS, you’re either hedging or betting. </w:t>
      </w:r>
    </w:p>
    <w:p w:rsidR="00383646" w:rsidRDefault="00383646" w:rsidP="00795665">
      <w:pPr>
        <w:ind w:firstLine="720"/>
        <w:rPr>
          <w:rFonts w:ascii="Times New Roman" w:hAnsi="Times New Roman" w:cs="Times New Roman"/>
          <w:sz w:val="24"/>
          <w:szCs w:val="24"/>
        </w:rPr>
      </w:pPr>
      <w:r>
        <w:rPr>
          <w:rFonts w:ascii="Times New Roman" w:hAnsi="Times New Roman" w:cs="Times New Roman"/>
          <w:sz w:val="24"/>
          <w:szCs w:val="24"/>
        </w:rPr>
        <w:t xml:space="preserve">Naked CDS – Geithner was pushing Dinallo, hoping he could solve AIG before it collapsed.  Dinallo said he wouldn’t treat naked CDS as insurance because that’s either gaming or a “bucket shop.”  </w:t>
      </w:r>
    </w:p>
    <w:p w:rsidR="00383646" w:rsidRDefault="00383646" w:rsidP="00795665">
      <w:pPr>
        <w:ind w:firstLine="720"/>
        <w:rPr>
          <w:rFonts w:ascii="Times New Roman" w:hAnsi="Times New Roman" w:cs="Times New Roman"/>
          <w:sz w:val="24"/>
          <w:szCs w:val="24"/>
        </w:rPr>
      </w:pPr>
      <w:r>
        <w:rPr>
          <w:rFonts w:ascii="Times New Roman" w:hAnsi="Times New Roman" w:cs="Times New Roman"/>
          <w:sz w:val="24"/>
          <w:szCs w:val="24"/>
        </w:rPr>
        <w:t>Dinallo did a study finding that there were three times as many naked CDS as those CDS used to hedge.  *This study was public and is cited in Greenberger’s article (of which he provided  us electronic and hard copies during the interview).</w:t>
      </w:r>
    </w:p>
    <w:p w:rsidR="00383646" w:rsidRDefault="00383646" w:rsidP="00795665">
      <w:pPr>
        <w:ind w:firstLine="720"/>
        <w:rPr>
          <w:rFonts w:ascii="Times New Roman" w:hAnsi="Times New Roman" w:cs="Times New Roman"/>
          <w:sz w:val="24"/>
          <w:szCs w:val="24"/>
        </w:rPr>
      </w:pPr>
      <w:r>
        <w:rPr>
          <w:rFonts w:ascii="Times New Roman" w:hAnsi="Times New Roman" w:cs="Times New Roman"/>
          <w:sz w:val="24"/>
          <w:szCs w:val="24"/>
        </w:rPr>
        <w:t>Question – the $180 billion in government money to AIG – was this money used to insure real losses, or bets?</w:t>
      </w:r>
    </w:p>
    <w:p w:rsidR="00383646" w:rsidRDefault="00383646" w:rsidP="00795665">
      <w:pPr>
        <w:ind w:firstLine="720"/>
        <w:rPr>
          <w:rFonts w:ascii="Times New Roman" w:hAnsi="Times New Roman" w:cs="Times New Roman"/>
          <w:sz w:val="24"/>
          <w:szCs w:val="24"/>
        </w:rPr>
      </w:pPr>
      <w:r>
        <w:rPr>
          <w:rFonts w:ascii="Times New Roman" w:hAnsi="Times New Roman" w:cs="Times New Roman"/>
          <w:sz w:val="24"/>
          <w:szCs w:val="24"/>
        </w:rPr>
        <w:t>Prof. Greenberger doesn’t necessarily oppose naked CDS, he thinks they should be transparent.  It’s also a rating agency problem that Bear had a strong rating when its CDS spreads were growing.  Also, you can just short a stock (e.g., AIG), without needing naked CDS.</w:t>
      </w:r>
    </w:p>
    <w:p w:rsidR="00383646" w:rsidRDefault="00383646" w:rsidP="00795665">
      <w:pPr>
        <w:ind w:firstLine="720"/>
        <w:rPr>
          <w:rFonts w:ascii="Times New Roman" w:hAnsi="Times New Roman" w:cs="Times New Roman"/>
          <w:sz w:val="24"/>
          <w:szCs w:val="24"/>
        </w:rPr>
      </w:pPr>
      <w:r>
        <w:rPr>
          <w:rFonts w:ascii="Times New Roman" w:hAnsi="Times New Roman" w:cs="Times New Roman"/>
          <w:sz w:val="24"/>
          <w:szCs w:val="24"/>
        </w:rPr>
        <w:t>Regarding the legislation currently being considered – Colin Peterson, the Chair of the House Agriculture Committee, included a legislative proposal to ban CDS.  The Stupak rider to the cap &amp; trade bill also included a ban on naked CDS.  The current House bill does not have the ban, though.</w:t>
      </w:r>
    </w:p>
    <w:p w:rsidR="00383646" w:rsidRDefault="00383646" w:rsidP="00795665">
      <w:pPr>
        <w:ind w:firstLine="720"/>
        <w:rPr>
          <w:rFonts w:ascii="Times New Roman" w:hAnsi="Times New Roman" w:cs="Times New Roman"/>
          <w:sz w:val="24"/>
          <w:szCs w:val="24"/>
        </w:rPr>
      </w:pPr>
      <w:r>
        <w:rPr>
          <w:rFonts w:ascii="Times New Roman" w:hAnsi="Times New Roman" w:cs="Times New Roman"/>
          <w:sz w:val="24"/>
          <w:szCs w:val="24"/>
        </w:rPr>
        <w:t xml:space="preserve">Prior to the Commodity Futures Modernization Act of 2000 (CFMA), the general rule was that futures contracts couldn’t be traded except on a fully regulated, transparent exchange.  </w:t>
      </w:r>
    </w:p>
    <w:p w:rsidR="00A61B84" w:rsidRDefault="00A61B84" w:rsidP="00A61B84">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are layers of self-regulatory bodies – FINRA/NFA and then the exchanges.  </w:t>
      </w:r>
      <w:r w:rsidR="00383646">
        <w:rPr>
          <w:rFonts w:ascii="Times New Roman" w:hAnsi="Times New Roman" w:cs="Times New Roman"/>
          <w:sz w:val="24"/>
          <w:szCs w:val="24"/>
        </w:rPr>
        <w:t xml:space="preserve">SROs </w:t>
      </w:r>
      <w:r>
        <w:rPr>
          <w:rFonts w:ascii="Times New Roman" w:hAnsi="Times New Roman" w:cs="Times New Roman"/>
          <w:sz w:val="24"/>
          <w:szCs w:val="24"/>
        </w:rPr>
        <w:t xml:space="preserve">(self-regulating organizations) </w:t>
      </w:r>
      <w:r w:rsidR="00383646">
        <w:rPr>
          <w:rFonts w:ascii="Times New Roman" w:hAnsi="Times New Roman" w:cs="Times New Roman"/>
          <w:sz w:val="24"/>
          <w:szCs w:val="24"/>
        </w:rPr>
        <w:t>were established by the securities and futures laws:  FINRA and the National Futures Association</w:t>
      </w:r>
      <w:r>
        <w:rPr>
          <w:rFonts w:ascii="Times New Roman" w:hAnsi="Times New Roman" w:cs="Times New Roman"/>
          <w:sz w:val="24"/>
          <w:szCs w:val="24"/>
        </w:rPr>
        <w:t xml:space="preserve"> (NFA).  B</w:t>
      </w:r>
      <w:r w:rsidR="00383646">
        <w:rPr>
          <w:rFonts w:ascii="Times New Roman" w:hAnsi="Times New Roman" w:cs="Times New Roman"/>
          <w:sz w:val="24"/>
          <w:szCs w:val="24"/>
        </w:rPr>
        <w:t>y statute</w:t>
      </w:r>
      <w:r>
        <w:rPr>
          <w:rFonts w:ascii="Times New Roman" w:hAnsi="Times New Roman" w:cs="Times New Roman"/>
          <w:sz w:val="24"/>
          <w:szCs w:val="24"/>
        </w:rPr>
        <w:t>, government agencies delegated much oversight to these SROs.  Behavior is dictated by federal law, and the SROs have to adopt rules to effectuate those laws.  Securities exchanges and futures exchanges – called SROs – but implementing federal standards and laws through their rules.  They have never gone beyond what’s required by law and the agencies.  This structure was chosen for resource purposes.</w:t>
      </w:r>
    </w:p>
    <w:p w:rsidR="00A61B84" w:rsidRDefault="00A61B84" w:rsidP="00A61B84">
      <w:pPr>
        <w:ind w:firstLine="720"/>
        <w:rPr>
          <w:rFonts w:ascii="Times New Roman" w:hAnsi="Times New Roman" w:cs="Times New Roman"/>
          <w:sz w:val="24"/>
          <w:szCs w:val="24"/>
        </w:rPr>
      </w:pPr>
      <w:r>
        <w:rPr>
          <w:rFonts w:ascii="Times New Roman" w:hAnsi="Times New Roman" w:cs="Times New Roman"/>
          <w:sz w:val="24"/>
          <w:szCs w:val="24"/>
        </w:rPr>
        <w:t>Banks want self-regulation that is unsupervised.</w:t>
      </w:r>
    </w:p>
    <w:p w:rsidR="00A61B84" w:rsidRDefault="00A61B84" w:rsidP="00A61B84">
      <w:pPr>
        <w:ind w:firstLine="720"/>
        <w:rPr>
          <w:rFonts w:ascii="Times New Roman" w:hAnsi="Times New Roman" w:cs="Times New Roman"/>
          <w:sz w:val="24"/>
          <w:szCs w:val="24"/>
        </w:rPr>
      </w:pPr>
      <w:r>
        <w:rPr>
          <w:rFonts w:ascii="Times New Roman" w:hAnsi="Times New Roman" w:cs="Times New Roman"/>
          <w:sz w:val="24"/>
          <w:szCs w:val="24"/>
        </w:rPr>
        <w:t>Counterparty Risk Management Group – June 1999 Report – led by Gerry Corrigan – regarding Long Term Capital Management (LTCM).  The report concludes that such a failure (i.e., like LTCM’s) will never happen again, that the industry will self-regulate.</w:t>
      </w:r>
    </w:p>
    <w:p w:rsidR="00A61B84" w:rsidRDefault="00A61B84" w:rsidP="00A61B84">
      <w:pPr>
        <w:ind w:firstLine="720"/>
        <w:rPr>
          <w:rFonts w:ascii="Times New Roman" w:hAnsi="Times New Roman" w:cs="Times New Roman"/>
          <w:sz w:val="24"/>
          <w:szCs w:val="24"/>
        </w:rPr>
      </w:pPr>
      <w:r>
        <w:rPr>
          <w:rFonts w:ascii="Times New Roman" w:hAnsi="Times New Roman" w:cs="Times New Roman"/>
          <w:sz w:val="24"/>
          <w:szCs w:val="24"/>
        </w:rPr>
        <w:t>There are no competency standards for swap dealers; no fiduciary standards.</w:t>
      </w:r>
    </w:p>
    <w:p w:rsidR="00A61B84" w:rsidRDefault="00A61B84" w:rsidP="00A61B84">
      <w:pPr>
        <w:ind w:firstLine="720"/>
        <w:rPr>
          <w:rFonts w:ascii="Times New Roman" w:hAnsi="Times New Roman" w:cs="Times New Roman"/>
          <w:sz w:val="24"/>
          <w:szCs w:val="24"/>
        </w:rPr>
      </w:pPr>
      <w:r>
        <w:rPr>
          <w:rFonts w:ascii="Times New Roman" w:hAnsi="Times New Roman" w:cs="Times New Roman"/>
          <w:sz w:val="24"/>
          <w:szCs w:val="24"/>
        </w:rPr>
        <w:t>The ISDA Master Agreement “is caveat emptor on steroids to the customer.”  In some cases, the agreement says, “you understand we may be taking an opposite position on this.”  (Prof. Greenberger gave an example of a case involving a glass manufacturer.)  Prof. Greenberger made the point that the standardized agreements are never read.</w:t>
      </w:r>
    </w:p>
    <w:p w:rsidR="00A61B84" w:rsidRDefault="00A61B84" w:rsidP="00A61B84">
      <w:pPr>
        <w:ind w:firstLine="720"/>
        <w:rPr>
          <w:rFonts w:ascii="Times New Roman" w:hAnsi="Times New Roman" w:cs="Times New Roman"/>
          <w:sz w:val="24"/>
          <w:szCs w:val="24"/>
        </w:rPr>
      </w:pPr>
      <w:r>
        <w:rPr>
          <w:rFonts w:ascii="Times New Roman" w:hAnsi="Times New Roman" w:cs="Times New Roman"/>
          <w:sz w:val="24"/>
          <w:szCs w:val="24"/>
        </w:rPr>
        <w:t>In supporting regulation of derivatives, Prof. Greenberger doesn’t mean that we should babysit counterparties.  But we need transparency.</w:t>
      </w:r>
    </w:p>
    <w:p w:rsidR="00A61B84" w:rsidRDefault="00A61B84" w:rsidP="00A61B84">
      <w:pPr>
        <w:ind w:firstLine="720"/>
        <w:rPr>
          <w:rFonts w:ascii="Times New Roman" w:hAnsi="Times New Roman" w:cs="Times New Roman"/>
          <w:sz w:val="24"/>
          <w:szCs w:val="24"/>
        </w:rPr>
      </w:pPr>
      <w:r>
        <w:rPr>
          <w:rFonts w:ascii="Times New Roman" w:hAnsi="Times New Roman" w:cs="Times New Roman"/>
          <w:sz w:val="24"/>
          <w:szCs w:val="24"/>
        </w:rPr>
        <w:t>Under the CFMA, a swap cannot be regulated by the federal government.</w:t>
      </w:r>
    </w:p>
    <w:p w:rsidR="00A61B84" w:rsidRDefault="00A61B84" w:rsidP="00A61B84">
      <w:pPr>
        <w:ind w:firstLine="720"/>
        <w:rPr>
          <w:rFonts w:ascii="Times New Roman" w:hAnsi="Times New Roman" w:cs="Times New Roman"/>
          <w:sz w:val="24"/>
          <w:szCs w:val="24"/>
        </w:rPr>
      </w:pPr>
      <w:r>
        <w:rPr>
          <w:rFonts w:ascii="Times New Roman" w:hAnsi="Times New Roman" w:cs="Times New Roman"/>
          <w:sz w:val="24"/>
          <w:szCs w:val="24"/>
        </w:rPr>
        <w:t>The derivatives market exceeds the equity market in value, yet we treat it incredibly differently.  We would never agree to “just clearing” for securities.</w:t>
      </w:r>
    </w:p>
    <w:p w:rsidR="00A61B84" w:rsidRDefault="00A61B84" w:rsidP="00A61B84">
      <w:pPr>
        <w:ind w:firstLine="720"/>
        <w:rPr>
          <w:rFonts w:ascii="Times New Roman" w:hAnsi="Times New Roman" w:cs="Times New Roman"/>
          <w:sz w:val="24"/>
          <w:szCs w:val="24"/>
        </w:rPr>
      </w:pPr>
      <w:r>
        <w:rPr>
          <w:rFonts w:ascii="Times New Roman" w:hAnsi="Times New Roman" w:cs="Times New Roman"/>
          <w:sz w:val="24"/>
          <w:szCs w:val="24"/>
        </w:rPr>
        <w:t>“Eligible contract participants” – at least $5 million.  [?]</w:t>
      </w:r>
    </w:p>
    <w:p w:rsidR="009A4E2D" w:rsidRDefault="00A61B84" w:rsidP="009A4E2D">
      <w:pPr>
        <w:ind w:firstLine="720"/>
        <w:rPr>
          <w:rFonts w:ascii="Times New Roman" w:hAnsi="Times New Roman" w:cs="Times New Roman"/>
          <w:sz w:val="24"/>
          <w:szCs w:val="24"/>
        </w:rPr>
      </w:pPr>
      <w:r>
        <w:rPr>
          <w:rFonts w:ascii="Times New Roman" w:hAnsi="Times New Roman" w:cs="Times New Roman"/>
          <w:sz w:val="24"/>
          <w:szCs w:val="24"/>
        </w:rPr>
        <w:t xml:space="preserve">Commissioner Born:  No attention was paid to protecting the U.S. economy in passing the CFMA.  Even if you are of the belief that sophisticated investors should be able to protect their own interests </w:t>
      </w:r>
      <w:r w:rsidR="009A4E2D">
        <w:rPr>
          <w:rFonts w:ascii="Times New Roman" w:hAnsi="Times New Roman" w:cs="Times New Roman"/>
          <w:sz w:val="24"/>
          <w:szCs w:val="24"/>
        </w:rPr>
        <w:t>(and thus consumer protections not needed).  The exchange trading requirement of the Commodity Exchange Act (CEA) was never changed – just that that swaps were excluded (needed to be individually negotiated).  The CFMA states that you cannot void a swap because it violates the CFMA.</w:t>
      </w:r>
    </w:p>
    <w:p w:rsidR="009A4E2D" w:rsidRDefault="009A4E2D" w:rsidP="009A4E2D">
      <w:pPr>
        <w:ind w:firstLine="720"/>
        <w:rPr>
          <w:rFonts w:ascii="Times New Roman" w:hAnsi="Times New Roman" w:cs="Times New Roman"/>
          <w:sz w:val="24"/>
          <w:szCs w:val="24"/>
        </w:rPr>
      </w:pPr>
      <w:r>
        <w:rPr>
          <w:rFonts w:ascii="Times New Roman" w:hAnsi="Times New Roman" w:cs="Times New Roman"/>
          <w:sz w:val="24"/>
          <w:szCs w:val="24"/>
        </w:rPr>
        <w:t>LTCM failure involved interest rate, currency and equity swaps.  Equity swaps are betting on the price of a stock – this was clearly illegal at the time.</w:t>
      </w:r>
    </w:p>
    <w:p w:rsidR="009A4E2D" w:rsidRDefault="009A4E2D" w:rsidP="009A4E2D">
      <w:pPr>
        <w:ind w:firstLine="720"/>
        <w:rPr>
          <w:rFonts w:ascii="Times New Roman" w:hAnsi="Times New Roman" w:cs="Times New Roman"/>
          <w:sz w:val="24"/>
          <w:szCs w:val="24"/>
        </w:rPr>
      </w:pPr>
      <w:r>
        <w:rPr>
          <w:rFonts w:ascii="Times New Roman" w:hAnsi="Times New Roman" w:cs="Times New Roman"/>
          <w:sz w:val="24"/>
          <w:szCs w:val="24"/>
        </w:rPr>
        <w:t>Alternate Swaps Execution Facility – electronic facility or voice brokering – Michael Hirsch has the fully story on this.</w:t>
      </w:r>
    </w:p>
    <w:p w:rsidR="009A4E2D" w:rsidRDefault="009A4E2D" w:rsidP="009A4E2D">
      <w:pPr>
        <w:ind w:firstLine="720"/>
        <w:rPr>
          <w:rFonts w:ascii="Times New Roman" w:hAnsi="Times New Roman" w:cs="Times New Roman"/>
          <w:sz w:val="24"/>
          <w:szCs w:val="24"/>
        </w:rPr>
      </w:pPr>
      <w:r>
        <w:rPr>
          <w:rFonts w:ascii="Times New Roman" w:hAnsi="Times New Roman" w:cs="Times New Roman"/>
          <w:sz w:val="24"/>
          <w:szCs w:val="24"/>
        </w:rPr>
        <w:lastRenderedPageBreak/>
        <w:t>Food and energy crisis – due to swaps that Goldman and Morgan Stanley sold that allowed people to bet on upward price swings of food, oil, etc.</w:t>
      </w:r>
    </w:p>
    <w:p w:rsidR="009A4E2D" w:rsidRDefault="009A4E2D" w:rsidP="009A4E2D">
      <w:pPr>
        <w:ind w:firstLine="720"/>
        <w:rPr>
          <w:rFonts w:ascii="Times New Roman" w:hAnsi="Times New Roman" w:cs="Times New Roman"/>
          <w:sz w:val="24"/>
          <w:szCs w:val="24"/>
        </w:rPr>
      </w:pPr>
      <w:r>
        <w:rPr>
          <w:rFonts w:ascii="Times New Roman" w:hAnsi="Times New Roman" w:cs="Times New Roman"/>
          <w:sz w:val="24"/>
          <w:szCs w:val="24"/>
        </w:rPr>
        <w:t>The failure of Orange County, California, LTCM, Enron – all derived from derivatives other than credit default swaps.</w:t>
      </w:r>
    </w:p>
    <w:p w:rsidR="009A4E2D" w:rsidRDefault="009A4E2D" w:rsidP="00714F1E">
      <w:pPr>
        <w:ind w:firstLine="720"/>
        <w:rPr>
          <w:rFonts w:ascii="Times New Roman" w:hAnsi="Times New Roman" w:cs="Times New Roman"/>
          <w:sz w:val="24"/>
          <w:szCs w:val="24"/>
        </w:rPr>
      </w:pPr>
      <w:r>
        <w:rPr>
          <w:rFonts w:ascii="Times New Roman" w:hAnsi="Times New Roman" w:cs="Times New Roman"/>
          <w:sz w:val="24"/>
          <w:szCs w:val="24"/>
        </w:rPr>
        <w:t>Obama White Paper – June 2009</w:t>
      </w:r>
      <w:r w:rsidR="00027413">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 says without exception that all standardized swaps should</w:t>
      </w:r>
      <w:r w:rsidR="00714F1E">
        <w:rPr>
          <w:rFonts w:ascii="Times New Roman" w:hAnsi="Times New Roman" w:cs="Times New Roman"/>
          <w:sz w:val="24"/>
          <w:szCs w:val="24"/>
        </w:rPr>
        <w:t xml:space="preserve"> be cleared and exchange traded.  </w:t>
      </w:r>
      <w:r w:rsidR="003A4016">
        <w:rPr>
          <w:rFonts w:ascii="Times New Roman" w:hAnsi="Times New Roman" w:cs="Times New Roman"/>
          <w:sz w:val="24"/>
          <w:szCs w:val="24"/>
        </w:rPr>
        <w:t xml:space="preserve">On </w:t>
      </w:r>
      <w:r>
        <w:rPr>
          <w:rFonts w:ascii="Times New Roman" w:hAnsi="Times New Roman" w:cs="Times New Roman"/>
          <w:sz w:val="24"/>
          <w:szCs w:val="24"/>
        </w:rPr>
        <w:t>August 1</w:t>
      </w:r>
      <w:r w:rsidR="003A4016">
        <w:rPr>
          <w:rFonts w:ascii="Times New Roman" w:hAnsi="Times New Roman" w:cs="Times New Roman"/>
          <w:sz w:val="24"/>
          <w:szCs w:val="24"/>
        </w:rPr>
        <w:t xml:space="preserve">1, 2009, </w:t>
      </w:r>
      <w:r>
        <w:rPr>
          <w:rFonts w:ascii="Times New Roman" w:hAnsi="Times New Roman" w:cs="Times New Roman"/>
          <w:sz w:val="24"/>
          <w:szCs w:val="24"/>
        </w:rPr>
        <w:t xml:space="preserve">Geithner </w:t>
      </w:r>
      <w:r w:rsidR="003A4016">
        <w:rPr>
          <w:rFonts w:ascii="Times New Roman" w:hAnsi="Times New Roman" w:cs="Times New Roman"/>
          <w:sz w:val="24"/>
          <w:szCs w:val="24"/>
        </w:rPr>
        <w:t>published a letter</w:t>
      </w:r>
      <w:r w:rsidR="00027413">
        <w:rPr>
          <w:rStyle w:val="FootnoteReference"/>
          <w:rFonts w:ascii="Times New Roman" w:hAnsi="Times New Roman" w:cs="Times New Roman"/>
          <w:sz w:val="24"/>
          <w:szCs w:val="24"/>
        </w:rPr>
        <w:footnoteReference w:id="2"/>
      </w:r>
      <w:r w:rsidR="003A4016">
        <w:rPr>
          <w:rFonts w:ascii="Times New Roman" w:hAnsi="Times New Roman" w:cs="Times New Roman"/>
          <w:sz w:val="24"/>
          <w:szCs w:val="24"/>
        </w:rPr>
        <w:t xml:space="preserve"> (accompanying proposed legislation) </w:t>
      </w:r>
      <w:r>
        <w:rPr>
          <w:rFonts w:ascii="Times New Roman" w:hAnsi="Times New Roman" w:cs="Times New Roman"/>
          <w:sz w:val="24"/>
          <w:szCs w:val="24"/>
        </w:rPr>
        <w:t>say</w:t>
      </w:r>
      <w:r w:rsidR="003A4016">
        <w:rPr>
          <w:rFonts w:ascii="Times New Roman" w:hAnsi="Times New Roman" w:cs="Times New Roman"/>
          <w:sz w:val="24"/>
          <w:szCs w:val="24"/>
        </w:rPr>
        <w:t>ing</w:t>
      </w:r>
      <w:r>
        <w:rPr>
          <w:rFonts w:ascii="Times New Roman" w:hAnsi="Times New Roman" w:cs="Times New Roman"/>
          <w:sz w:val="24"/>
          <w:szCs w:val="24"/>
        </w:rPr>
        <w:t xml:space="preserve"> yes, all</w:t>
      </w:r>
      <w:r w:rsidR="003A4016">
        <w:rPr>
          <w:rFonts w:ascii="Times New Roman" w:hAnsi="Times New Roman" w:cs="Times New Roman"/>
          <w:sz w:val="24"/>
          <w:szCs w:val="24"/>
        </w:rPr>
        <w:t xml:space="preserve"> should be cleared and exchange traded</w:t>
      </w:r>
      <w:r>
        <w:rPr>
          <w:rFonts w:ascii="Times New Roman" w:hAnsi="Times New Roman" w:cs="Times New Roman"/>
          <w:sz w:val="24"/>
          <w:szCs w:val="24"/>
        </w:rPr>
        <w:t xml:space="preserve"> except currency swaps or if used to hedge risk.</w:t>
      </w:r>
      <w:r w:rsidR="00714F1E">
        <w:rPr>
          <w:rFonts w:ascii="Times New Roman" w:hAnsi="Times New Roman" w:cs="Times New Roman"/>
          <w:sz w:val="24"/>
          <w:szCs w:val="24"/>
        </w:rPr>
        <w:t xml:space="preserve">  On August 17, 2009, CFTC Chair Gary Gensler wrote a letter</w:t>
      </w:r>
      <w:r w:rsidR="00027413">
        <w:rPr>
          <w:rStyle w:val="FootnoteReference"/>
          <w:rFonts w:ascii="Times New Roman" w:hAnsi="Times New Roman" w:cs="Times New Roman"/>
          <w:sz w:val="24"/>
          <w:szCs w:val="24"/>
        </w:rPr>
        <w:footnoteReference w:id="3"/>
      </w:r>
      <w:r w:rsidR="00714F1E">
        <w:rPr>
          <w:rFonts w:ascii="Times New Roman" w:hAnsi="Times New Roman" w:cs="Times New Roman"/>
          <w:sz w:val="24"/>
          <w:szCs w:val="24"/>
        </w:rPr>
        <w:t xml:space="preserve"> to Congress saying that these exemptions do away with the good parts of the proposed legislation.  The current legislation includes the two exemptions suggested by Geithner.  There is active debate right now whether HR 4173 is a step backwards from the CFMA.</w:t>
      </w:r>
    </w:p>
    <w:p w:rsidR="00714F1E" w:rsidRDefault="00714F1E" w:rsidP="00714F1E">
      <w:pPr>
        <w:ind w:firstLine="720"/>
        <w:rPr>
          <w:rFonts w:ascii="Times New Roman" w:hAnsi="Times New Roman" w:cs="Times New Roman"/>
          <w:sz w:val="24"/>
          <w:szCs w:val="24"/>
        </w:rPr>
      </w:pPr>
      <w:r>
        <w:rPr>
          <w:rFonts w:ascii="Times New Roman" w:hAnsi="Times New Roman" w:cs="Times New Roman"/>
          <w:sz w:val="24"/>
          <w:szCs w:val="24"/>
        </w:rPr>
        <w:t>YRC Trucking experience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 </w:t>
      </w:r>
      <w:r w:rsidR="00F14649">
        <w:rPr>
          <w:rFonts w:ascii="Times New Roman" w:hAnsi="Times New Roman" w:cs="Times New Roman"/>
          <w:sz w:val="24"/>
          <w:szCs w:val="24"/>
        </w:rPr>
        <w:t>Pennsylvania has opened an investigation; other states are considering opening investigations.  Dick Blumenthal wrote a letter to Goldman Sachs telling them if they didn’t stop he would do something.  Goldman Sachs asked for the Teamsters to waive all causes of action against it in exchange for its change in position.</w:t>
      </w:r>
    </w:p>
    <w:p w:rsidR="00F14649" w:rsidRDefault="00F14649" w:rsidP="00714F1E">
      <w:pPr>
        <w:ind w:firstLine="720"/>
        <w:rPr>
          <w:rFonts w:ascii="Times New Roman" w:hAnsi="Times New Roman" w:cs="Times New Roman"/>
          <w:sz w:val="24"/>
          <w:szCs w:val="24"/>
        </w:rPr>
      </w:pPr>
      <w:r>
        <w:rPr>
          <w:rFonts w:ascii="Times New Roman" w:hAnsi="Times New Roman" w:cs="Times New Roman"/>
          <w:sz w:val="24"/>
          <w:szCs w:val="24"/>
        </w:rPr>
        <w:t>Prof. Greenberger defines an “abusive swap” as swap intended to encourage bankruptcy or unemployment.</w:t>
      </w:r>
    </w:p>
    <w:p w:rsidR="00F14649" w:rsidRDefault="00F14649" w:rsidP="00714F1E">
      <w:pPr>
        <w:ind w:firstLine="720"/>
        <w:rPr>
          <w:rFonts w:ascii="Times New Roman" w:hAnsi="Times New Roman" w:cs="Times New Roman"/>
          <w:sz w:val="24"/>
          <w:szCs w:val="24"/>
        </w:rPr>
      </w:pPr>
      <w:r>
        <w:rPr>
          <w:rFonts w:ascii="Times New Roman" w:hAnsi="Times New Roman" w:cs="Times New Roman"/>
          <w:sz w:val="24"/>
          <w:szCs w:val="24"/>
        </w:rPr>
        <w:t xml:space="preserve">Commodity index swaps allow passive investors to bet on 25 different commodities.  </w:t>
      </w:r>
    </w:p>
    <w:p w:rsidR="00F14649" w:rsidRDefault="00F14649" w:rsidP="00714F1E">
      <w:pPr>
        <w:ind w:firstLine="720"/>
        <w:rPr>
          <w:rFonts w:ascii="Times New Roman" w:hAnsi="Times New Roman" w:cs="Times New Roman"/>
          <w:sz w:val="24"/>
          <w:szCs w:val="24"/>
        </w:rPr>
      </w:pPr>
      <w:r>
        <w:rPr>
          <w:rFonts w:ascii="Times New Roman" w:hAnsi="Times New Roman" w:cs="Times New Roman"/>
          <w:sz w:val="24"/>
          <w:szCs w:val="24"/>
        </w:rPr>
        <w:t>Senator Levin has issued three big reports that are relevant to derivatives and excess speculation:  (1) in 2006, on oil; (2) in 2007, on the Amaranth hedge fund collapse; and (3) in June 2009, on wheat.  Prof. Greenberger testified on August 5, 2009 at the CFTC, and his testimony includes an executive summary of the wheat report.  (Dan Berkovitz was responsible for all three reports; he is now counsel to Gensler at the CFTC.)</w:t>
      </w:r>
    </w:p>
    <w:p w:rsidR="00BE0B19" w:rsidRDefault="00BE0B19" w:rsidP="00714F1E">
      <w:pPr>
        <w:ind w:firstLine="720"/>
        <w:rPr>
          <w:rFonts w:ascii="Times New Roman" w:hAnsi="Times New Roman" w:cs="Times New Roman"/>
          <w:sz w:val="24"/>
          <w:szCs w:val="24"/>
        </w:rPr>
      </w:pPr>
      <w:r>
        <w:rPr>
          <w:rFonts w:ascii="Times New Roman" w:hAnsi="Times New Roman" w:cs="Times New Roman"/>
          <w:sz w:val="24"/>
          <w:szCs w:val="24"/>
        </w:rPr>
        <w:t>Commissioner Born:  We really don’t know what role other derivatives played in the collapse of Bear, Lehman, Merrill and the problems of JPMorgan and Goldman Sachs.  Interest rate swaps were a much bigger part of their portfolios, and CDS was never more than 10%.  We need to be very careful in focusing too exclusively on CDS.  We know that CDS brought down AIG.  We know that OTC derivatives and lack of transparency played a major role in the collapse of investment banks.</w:t>
      </w:r>
    </w:p>
    <w:p w:rsidR="00BE0B19" w:rsidRDefault="00BE0B19" w:rsidP="00BE0B19">
      <w:pPr>
        <w:ind w:firstLine="720"/>
        <w:rPr>
          <w:rFonts w:ascii="Times New Roman" w:hAnsi="Times New Roman" w:cs="Times New Roman"/>
          <w:sz w:val="24"/>
          <w:szCs w:val="24"/>
        </w:rPr>
      </w:pPr>
      <w:r>
        <w:rPr>
          <w:rFonts w:ascii="Times New Roman" w:hAnsi="Times New Roman" w:cs="Times New Roman"/>
          <w:sz w:val="24"/>
          <w:szCs w:val="24"/>
        </w:rPr>
        <w:lastRenderedPageBreak/>
        <w:t>Synthetic CDOs increased exponentially speculation on the mortgage market, which fueled the housing bubble and through enormous leverage and speculation, made the bursting of the housing bubble infinitely more painful.  Bear, Lehman – said they were being pressured because speculators were using CDS to bring them down.</w:t>
      </w:r>
    </w:p>
    <w:p w:rsidR="00BE0B19" w:rsidRDefault="00BE0B19" w:rsidP="00BE0B19">
      <w:pPr>
        <w:ind w:firstLine="720"/>
        <w:rPr>
          <w:rFonts w:ascii="Times New Roman" w:hAnsi="Times New Roman" w:cs="Times New Roman"/>
          <w:sz w:val="24"/>
          <w:szCs w:val="24"/>
        </w:rPr>
      </w:pPr>
      <w:r>
        <w:rPr>
          <w:rFonts w:ascii="Times New Roman" w:hAnsi="Times New Roman" w:cs="Times New Roman"/>
          <w:sz w:val="24"/>
          <w:szCs w:val="24"/>
        </w:rPr>
        <w:t>All OTC derivatives among all major players in financial markets and other institutions outside led to “too big to fail” problem.  First, counterparty risk on OTC derivatives meant real problems when Lehman failed.  Second, AIG couldn’t be allowed to fail, because of counterparty risk, and also because of correlation risk (i.e., many hedge funds were all betting the same way, which meant that everyone was going to suffer).</w:t>
      </w:r>
    </w:p>
    <w:p w:rsidR="00DB16FA" w:rsidRDefault="00DB16FA" w:rsidP="00BE0B19">
      <w:pPr>
        <w:ind w:firstLine="720"/>
        <w:rPr>
          <w:rFonts w:ascii="Times New Roman" w:hAnsi="Times New Roman" w:cs="Times New Roman"/>
          <w:sz w:val="24"/>
          <w:szCs w:val="24"/>
        </w:rPr>
      </w:pPr>
      <w:r>
        <w:rPr>
          <w:rFonts w:ascii="Times New Roman" w:hAnsi="Times New Roman" w:cs="Times New Roman"/>
          <w:sz w:val="24"/>
          <w:szCs w:val="24"/>
        </w:rPr>
        <w:t>There was a New York Times article on February 11 concerning Lehman receiver in bankruptcy, regarding creditor claims for swaps.</w:t>
      </w:r>
      <w:r w:rsidR="001B6480">
        <w:rPr>
          <w:rFonts w:ascii="Times New Roman" w:hAnsi="Times New Roman" w:cs="Times New Roman"/>
          <w:sz w:val="24"/>
          <w:szCs w:val="24"/>
        </w:rPr>
        <w:t xml:space="preserve">  </w:t>
      </w:r>
    </w:p>
    <w:p w:rsidR="001B6480" w:rsidRDefault="001B6480" w:rsidP="00BE0B19">
      <w:pPr>
        <w:ind w:firstLine="720"/>
        <w:rPr>
          <w:rFonts w:ascii="Times New Roman" w:hAnsi="Times New Roman" w:cs="Times New Roman"/>
          <w:sz w:val="24"/>
          <w:szCs w:val="24"/>
        </w:rPr>
      </w:pPr>
      <w:r>
        <w:rPr>
          <w:rFonts w:ascii="Times New Roman" w:hAnsi="Times New Roman" w:cs="Times New Roman"/>
          <w:sz w:val="24"/>
          <w:szCs w:val="24"/>
        </w:rPr>
        <w:t>Commissioner Born:  We also need to look at the use of derivatives in creating bubbles in general.  E.g., not just the housing bubble, but the energy bubble and the food bubble (</w:t>
      </w:r>
      <w:r w:rsidR="00BA19C4">
        <w:rPr>
          <w:rFonts w:ascii="Times New Roman" w:hAnsi="Times New Roman" w:cs="Times New Roman"/>
          <w:sz w:val="24"/>
          <w:szCs w:val="24"/>
        </w:rPr>
        <w:t xml:space="preserve">e.g., </w:t>
      </w:r>
      <w:r>
        <w:rPr>
          <w:rFonts w:ascii="Times New Roman" w:hAnsi="Times New Roman" w:cs="Times New Roman"/>
          <w:sz w:val="24"/>
          <w:szCs w:val="24"/>
        </w:rPr>
        <w:t>riots in Indonesia</w:t>
      </w:r>
      <w:r w:rsidR="00BA19C4">
        <w:rPr>
          <w:rFonts w:ascii="Times New Roman" w:hAnsi="Times New Roman" w:cs="Times New Roman"/>
          <w:sz w:val="24"/>
          <w:szCs w:val="24"/>
        </w:rPr>
        <w:t>; 184 relief organizations wrote to Obama in March [2009] re: starvation because of the price of rice</w:t>
      </w:r>
      <w:r>
        <w:rPr>
          <w:rFonts w:ascii="Times New Roman" w:hAnsi="Times New Roman" w:cs="Times New Roman"/>
          <w:sz w:val="24"/>
          <w:szCs w:val="24"/>
        </w:rPr>
        <w:t>)</w:t>
      </w:r>
      <w:r w:rsidR="00BA19C4">
        <w:rPr>
          <w:rFonts w:ascii="Times New Roman" w:hAnsi="Times New Roman" w:cs="Times New Roman"/>
          <w:sz w:val="24"/>
          <w:szCs w:val="24"/>
        </w:rPr>
        <w:t>.  We should also consider looking at how accounting treatment for OTC derivatives led to their use to avoid disclosure, etc.  (Greece is poster child.)  The reason CDOs were such great buys for European banks was – if they got AIG to write CDS on CDOs, there was no capital requirement [for the CDO asset being held].  This was used to evade capital requirements.</w:t>
      </w:r>
    </w:p>
    <w:p w:rsidR="00BA19C4" w:rsidRDefault="00BA19C4" w:rsidP="00BE0B19">
      <w:pPr>
        <w:ind w:firstLine="720"/>
        <w:rPr>
          <w:rFonts w:ascii="Times New Roman" w:hAnsi="Times New Roman" w:cs="Times New Roman"/>
          <w:sz w:val="24"/>
          <w:szCs w:val="24"/>
        </w:rPr>
      </w:pPr>
      <w:r>
        <w:rPr>
          <w:rFonts w:ascii="Times New Roman" w:hAnsi="Times New Roman" w:cs="Times New Roman"/>
          <w:sz w:val="24"/>
          <w:szCs w:val="24"/>
        </w:rPr>
        <w:t>There is also an ongoing IRS investigation concerning the use of swaps to sell to foreigners instead of equities.  [?]</w:t>
      </w:r>
    </w:p>
    <w:p w:rsidR="00BA19C4" w:rsidRDefault="00BA19C4" w:rsidP="00BE0B19">
      <w:pPr>
        <w:ind w:firstLine="720"/>
        <w:rPr>
          <w:rFonts w:ascii="Times New Roman" w:hAnsi="Times New Roman" w:cs="Times New Roman"/>
          <w:sz w:val="24"/>
          <w:szCs w:val="24"/>
        </w:rPr>
      </w:pPr>
      <w:r>
        <w:rPr>
          <w:rFonts w:ascii="Times New Roman" w:hAnsi="Times New Roman" w:cs="Times New Roman"/>
          <w:sz w:val="24"/>
          <w:szCs w:val="24"/>
        </w:rPr>
        <w:t>Off-balance sheet vehicles led to lack of investor confidence.  *Frank Partnoy wrote an article on SIVs that we should look at.</w:t>
      </w:r>
      <w:r w:rsidR="00194F86">
        <w:rPr>
          <w:rFonts w:ascii="Times New Roman" w:hAnsi="Times New Roman" w:cs="Times New Roman"/>
          <w:sz w:val="24"/>
          <w:szCs w:val="24"/>
        </w:rPr>
        <w:t xml:space="preserve">  We should also look at what pension funds are saying.  The Council of Institutional Investors (CII) has come out with a position now.</w:t>
      </w:r>
    </w:p>
    <w:p w:rsidR="00BE1062" w:rsidRDefault="00BE1062" w:rsidP="00BE0B19">
      <w:pPr>
        <w:ind w:firstLine="720"/>
        <w:rPr>
          <w:rFonts w:ascii="Times New Roman" w:hAnsi="Times New Roman" w:cs="Times New Roman"/>
          <w:sz w:val="24"/>
          <w:szCs w:val="24"/>
        </w:rPr>
      </w:pPr>
      <w:r>
        <w:rPr>
          <w:rFonts w:ascii="Times New Roman" w:hAnsi="Times New Roman" w:cs="Times New Roman"/>
          <w:sz w:val="24"/>
          <w:szCs w:val="24"/>
        </w:rPr>
        <w:t>Commissioner Born:  Two issues – (1) What do we investigate; and (2) What do we put in the hearing (will be a small subset – focus on most visible and explainable aspects).</w:t>
      </w:r>
    </w:p>
    <w:p w:rsidR="00BE1062" w:rsidRDefault="00BE1062" w:rsidP="00BE0B19">
      <w:pPr>
        <w:ind w:firstLine="720"/>
        <w:rPr>
          <w:rFonts w:ascii="Times New Roman" w:hAnsi="Times New Roman" w:cs="Times New Roman"/>
          <w:sz w:val="24"/>
          <w:szCs w:val="24"/>
        </w:rPr>
      </w:pPr>
      <w:r>
        <w:rPr>
          <w:rFonts w:ascii="Times New Roman" w:hAnsi="Times New Roman" w:cs="Times New Roman"/>
          <w:sz w:val="24"/>
          <w:szCs w:val="24"/>
        </w:rPr>
        <w:t>Interview AIG witnesses – did they know they were selling naked CDS?</w:t>
      </w:r>
      <w:r w:rsidR="00247E1F">
        <w:rPr>
          <w:rFonts w:ascii="Times New Roman" w:hAnsi="Times New Roman" w:cs="Times New Roman"/>
          <w:sz w:val="24"/>
          <w:szCs w:val="24"/>
        </w:rPr>
        <w:t xml:space="preserve">  </w:t>
      </w:r>
      <w:r>
        <w:rPr>
          <w:rFonts w:ascii="Times New Roman" w:hAnsi="Times New Roman" w:cs="Times New Roman"/>
          <w:sz w:val="24"/>
          <w:szCs w:val="24"/>
        </w:rPr>
        <w:t>We also need to illuminate the problem with models (aka Taleb/The Black Swan).  Why was risk so mispriced?</w:t>
      </w:r>
      <w:r w:rsidR="00247E1F">
        <w:rPr>
          <w:rFonts w:ascii="Times New Roman" w:hAnsi="Times New Roman" w:cs="Times New Roman"/>
          <w:sz w:val="24"/>
          <w:szCs w:val="24"/>
        </w:rPr>
        <w:t xml:space="preserve">  </w:t>
      </w:r>
      <w:r>
        <w:rPr>
          <w:rFonts w:ascii="Times New Roman" w:hAnsi="Times New Roman" w:cs="Times New Roman"/>
          <w:sz w:val="24"/>
          <w:szCs w:val="24"/>
        </w:rPr>
        <w:t>Another question is how much are commercial mortgages involved in CDS?  Is this a shoe still to drop?  Because there is no transparency, we don’t know what’s still out there.</w:t>
      </w:r>
      <w:r w:rsidR="00247E1F">
        <w:rPr>
          <w:rFonts w:ascii="Times New Roman" w:hAnsi="Times New Roman" w:cs="Times New Roman"/>
          <w:sz w:val="24"/>
          <w:szCs w:val="24"/>
        </w:rPr>
        <w:t xml:space="preserve">  </w:t>
      </w:r>
      <w:r>
        <w:rPr>
          <w:rFonts w:ascii="Times New Roman" w:hAnsi="Times New Roman" w:cs="Times New Roman"/>
          <w:sz w:val="24"/>
          <w:szCs w:val="24"/>
        </w:rPr>
        <w:t xml:space="preserve">We need to determine whether a big amount of questionable assets on the books of major institutions are derivative-related.  </w:t>
      </w:r>
    </w:p>
    <w:p w:rsidR="00BE1062" w:rsidRDefault="00BE1062" w:rsidP="00BE0B19">
      <w:pPr>
        <w:ind w:firstLine="720"/>
        <w:rPr>
          <w:rFonts w:ascii="Times New Roman" w:hAnsi="Times New Roman" w:cs="Times New Roman"/>
          <w:sz w:val="24"/>
          <w:szCs w:val="24"/>
        </w:rPr>
      </w:pPr>
      <w:r>
        <w:rPr>
          <w:rFonts w:ascii="Times New Roman" w:hAnsi="Times New Roman" w:cs="Times New Roman"/>
          <w:sz w:val="24"/>
          <w:szCs w:val="24"/>
        </w:rPr>
        <w:t xml:space="preserve">The banks (e.g., Citigroup, JPMorgan Chase) are required by federal regulators to hedge all swaps in order to be a derivatives dealer.  Banks all went to AIG for the hedge.  Query </w:t>
      </w:r>
      <w:r>
        <w:rPr>
          <w:rFonts w:ascii="Times New Roman" w:hAnsi="Times New Roman" w:cs="Times New Roman"/>
          <w:sz w:val="24"/>
          <w:szCs w:val="24"/>
        </w:rPr>
        <w:lastRenderedPageBreak/>
        <w:t>whether the real scandal is that banks knew AIG wasn’t hedging and weren’t reserving appropriately.</w:t>
      </w:r>
    </w:p>
    <w:p w:rsidR="00A94199" w:rsidRDefault="00BE1062" w:rsidP="00247E1F">
      <w:pPr>
        <w:ind w:firstLine="720"/>
      </w:pPr>
      <w:r>
        <w:rPr>
          <w:rFonts w:ascii="Times New Roman" w:hAnsi="Times New Roman" w:cs="Times New Roman"/>
          <w:sz w:val="24"/>
          <w:szCs w:val="24"/>
        </w:rPr>
        <w:t>We should talk to people at the banks buying the protection from AIG.  What did they know and when did they know it?</w:t>
      </w:r>
    </w:p>
    <w:p w:rsidR="001B6480" w:rsidRPr="00A94199" w:rsidRDefault="006D1F2E" w:rsidP="00826BDD">
      <w:pPr>
        <w:rPr>
          <w:sz w:val="16"/>
        </w:rPr>
      </w:pPr>
      <w:r>
        <w:rPr>
          <w:sz w:val="16"/>
        </w:rPr>
        <w:t>4821-4800-7429, v.  1</w:t>
      </w:r>
    </w:p>
    <w:sectPr w:rsidR="001B6480" w:rsidRPr="00A94199" w:rsidSect="004101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68D" w:rsidRDefault="00E4468D" w:rsidP="00714F1E">
      <w:pPr>
        <w:spacing w:after="0" w:line="240" w:lineRule="auto"/>
      </w:pPr>
      <w:r>
        <w:separator/>
      </w:r>
    </w:p>
  </w:endnote>
  <w:endnote w:type="continuationSeparator" w:id="0">
    <w:p w:rsidR="00E4468D" w:rsidRDefault="00E4468D" w:rsidP="00714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1853938"/>
      <w:docPartObj>
        <w:docPartGallery w:val="Page Numbers (Bottom of Page)"/>
        <w:docPartUnique/>
      </w:docPartObj>
    </w:sdtPr>
    <w:sdtContent>
      <w:sdt>
        <w:sdtPr>
          <w:rPr>
            <w:rFonts w:ascii="Times New Roman" w:hAnsi="Times New Roman" w:cs="Times New Roman"/>
          </w:rPr>
          <w:id w:val="565050477"/>
          <w:docPartObj>
            <w:docPartGallery w:val="Page Numbers (Top of Page)"/>
            <w:docPartUnique/>
          </w:docPartObj>
        </w:sdtPr>
        <w:sdtContent>
          <w:p w:rsidR="001B6480" w:rsidRPr="00E663CF" w:rsidRDefault="001B6480">
            <w:pPr>
              <w:pStyle w:val="Footer"/>
              <w:jc w:val="center"/>
              <w:rPr>
                <w:rFonts w:ascii="Times New Roman" w:hAnsi="Times New Roman" w:cs="Times New Roman"/>
              </w:rPr>
            </w:pPr>
            <w:r w:rsidRPr="00E663CF">
              <w:rPr>
                <w:rFonts w:ascii="Times New Roman" w:hAnsi="Times New Roman" w:cs="Times New Roman"/>
              </w:rPr>
              <w:t xml:space="preserve">Page </w:t>
            </w:r>
            <w:r w:rsidR="001C7858" w:rsidRPr="00E663CF">
              <w:rPr>
                <w:rFonts w:ascii="Times New Roman" w:hAnsi="Times New Roman" w:cs="Times New Roman"/>
                <w:b/>
                <w:sz w:val="24"/>
                <w:szCs w:val="24"/>
              </w:rPr>
              <w:fldChar w:fldCharType="begin"/>
            </w:r>
            <w:r w:rsidRPr="00E663CF">
              <w:rPr>
                <w:rFonts w:ascii="Times New Roman" w:hAnsi="Times New Roman" w:cs="Times New Roman"/>
                <w:b/>
              </w:rPr>
              <w:instrText xml:space="preserve"> PAGE </w:instrText>
            </w:r>
            <w:r w:rsidR="001C7858" w:rsidRPr="00E663CF">
              <w:rPr>
                <w:rFonts w:ascii="Times New Roman" w:hAnsi="Times New Roman" w:cs="Times New Roman"/>
                <w:b/>
                <w:sz w:val="24"/>
                <w:szCs w:val="24"/>
              </w:rPr>
              <w:fldChar w:fldCharType="separate"/>
            </w:r>
            <w:r w:rsidR="005401D3">
              <w:rPr>
                <w:rFonts w:ascii="Times New Roman" w:hAnsi="Times New Roman" w:cs="Times New Roman"/>
                <w:b/>
                <w:noProof/>
              </w:rPr>
              <w:t>6</w:t>
            </w:r>
            <w:r w:rsidR="001C7858" w:rsidRPr="00E663CF">
              <w:rPr>
                <w:rFonts w:ascii="Times New Roman" w:hAnsi="Times New Roman" w:cs="Times New Roman"/>
                <w:b/>
                <w:sz w:val="24"/>
                <w:szCs w:val="24"/>
              </w:rPr>
              <w:fldChar w:fldCharType="end"/>
            </w:r>
            <w:r w:rsidRPr="00E663CF">
              <w:rPr>
                <w:rFonts w:ascii="Times New Roman" w:hAnsi="Times New Roman" w:cs="Times New Roman"/>
              </w:rPr>
              <w:t xml:space="preserve"> of </w:t>
            </w:r>
            <w:r w:rsidR="001C7858" w:rsidRPr="00E663CF">
              <w:rPr>
                <w:rFonts w:ascii="Times New Roman" w:hAnsi="Times New Roman" w:cs="Times New Roman"/>
                <w:b/>
                <w:sz w:val="24"/>
                <w:szCs w:val="24"/>
              </w:rPr>
              <w:fldChar w:fldCharType="begin"/>
            </w:r>
            <w:r w:rsidRPr="00E663CF">
              <w:rPr>
                <w:rFonts w:ascii="Times New Roman" w:hAnsi="Times New Roman" w:cs="Times New Roman"/>
                <w:b/>
              </w:rPr>
              <w:instrText xml:space="preserve"> NUMPAGES  </w:instrText>
            </w:r>
            <w:r w:rsidR="001C7858" w:rsidRPr="00E663CF">
              <w:rPr>
                <w:rFonts w:ascii="Times New Roman" w:hAnsi="Times New Roman" w:cs="Times New Roman"/>
                <w:b/>
                <w:sz w:val="24"/>
                <w:szCs w:val="24"/>
              </w:rPr>
              <w:fldChar w:fldCharType="separate"/>
            </w:r>
            <w:r w:rsidR="005401D3">
              <w:rPr>
                <w:rFonts w:ascii="Times New Roman" w:hAnsi="Times New Roman" w:cs="Times New Roman"/>
                <w:b/>
                <w:noProof/>
              </w:rPr>
              <w:t>6</w:t>
            </w:r>
            <w:r w:rsidR="001C7858" w:rsidRPr="00E663CF">
              <w:rPr>
                <w:rFonts w:ascii="Times New Roman" w:hAnsi="Times New Roman" w:cs="Times New Roman"/>
                <w:b/>
                <w:sz w:val="24"/>
                <w:szCs w:val="24"/>
              </w:rPr>
              <w:fldChar w:fldCharType="end"/>
            </w:r>
          </w:p>
        </w:sdtContent>
      </w:sdt>
    </w:sdtContent>
  </w:sdt>
  <w:p w:rsidR="001B6480" w:rsidRDefault="001B64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68D" w:rsidRDefault="00E4468D" w:rsidP="00714F1E">
      <w:pPr>
        <w:spacing w:after="0" w:line="240" w:lineRule="auto"/>
      </w:pPr>
      <w:r>
        <w:separator/>
      </w:r>
    </w:p>
  </w:footnote>
  <w:footnote w:type="continuationSeparator" w:id="0">
    <w:p w:rsidR="00E4468D" w:rsidRDefault="00E4468D" w:rsidP="00714F1E">
      <w:pPr>
        <w:spacing w:after="0" w:line="240" w:lineRule="auto"/>
      </w:pPr>
      <w:r>
        <w:continuationSeparator/>
      </w:r>
    </w:p>
  </w:footnote>
  <w:footnote w:id="1">
    <w:p w:rsidR="001B6480" w:rsidRPr="00027413" w:rsidRDefault="001B6480">
      <w:pPr>
        <w:pStyle w:val="FootnoteText"/>
        <w:rPr>
          <w:rFonts w:ascii="Times New Roman" w:hAnsi="Times New Roman" w:cs="Times New Roman"/>
        </w:rPr>
      </w:pPr>
      <w:r>
        <w:rPr>
          <w:rStyle w:val="FootnoteReference"/>
        </w:rPr>
        <w:footnoteRef/>
      </w:r>
      <w:r>
        <w:t xml:space="preserve"> </w:t>
      </w:r>
      <w:r w:rsidRPr="00027413">
        <w:rPr>
          <w:rFonts w:ascii="Times New Roman" w:hAnsi="Times New Roman" w:cs="Times New Roman"/>
        </w:rPr>
        <w:t>See http://www.whitehouse.gov/the_press_office/President-Obama-to-Announce-Comprehensive-Plan-for-Regulatory-Reform/.</w:t>
      </w:r>
    </w:p>
  </w:footnote>
  <w:footnote w:id="2">
    <w:p w:rsidR="001B6480" w:rsidRPr="00027413" w:rsidRDefault="001B6480">
      <w:pPr>
        <w:pStyle w:val="FootnoteText"/>
        <w:rPr>
          <w:rFonts w:ascii="Times New Roman" w:hAnsi="Times New Roman" w:cs="Times New Roman"/>
        </w:rPr>
      </w:pPr>
      <w:r w:rsidRPr="00027413">
        <w:rPr>
          <w:rStyle w:val="FootnoteReference"/>
          <w:rFonts w:ascii="Times New Roman" w:hAnsi="Times New Roman" w:cs="Times New Roman"/>
        </w:rPr>
        <w:footnoteRef/>
      </w:r>
      <w:r w:rsidRPr="00027413">
        <w:rPr>
          <w:rFonts w:ascii="Times New Roman" w:hAnsi="Times New Roman" w:cs="Times New Roman"/>
        </w:rPr>
        <w:t xml:space="preserve"> See http://www.treas.gov/press/releases/tg261.htm.</w:t>
      </w:r>
    </w:p>
  </w:footnote>
  <w:footnote w:id="3">
    <w:p w:rsidR="001B6480" w:rsidRPr="00027413" w:rsidRDefault="001B6480" w:rsidP="00027413">
      <w:pPr>
        <w:pStyle w:val="FootnoteText"/>
        <w:rPr>
          <w:rFonts w:ascii="Times New Roman" w:hAnsi="Times New Roman" w:cs="Times New Roman"/>
        </w:rPr>
      </w:pPr>
      <w:r>
        <w:rPr>
          <w:rStyle w:val="FootnoteReference"/>
        </w:rPr>
        <w:footnoteRef/>
      </w:r>
      <w:r>
        <w:t xml:space="preserve"> </w:t>
      </w:r>
      <w:r w:rsidRPr="00027413">
        <w:rPr>
          <w:rFonts w:ascii="Times New Roman" w:hAnsi="Times New Roman" w:cs="Times New Roman"/>
        </w:rPr>
        <w:t>See http://www.sifma.org/uploadedFiles/Government_Affairs/OTC/Gensler_to_Harkin_Chambliss_Aug_17_2009.pdf.</w:t>
      </w:r>
    </w:p>
  </w:footnote>
  <w:footnote w:id="4">
    <w:p w:rsidR="001B6480" w:rsidRDefault="001B6480">
      <w:pPr>
        <w:pStyle w:val="FootnoteText"/>
      </w:pPr>
      <w:r>
        <w:rPr>
          <w:rStyle w:val="FootnoteReference"/>
        </w:rPr>
        <w:footnoteRef/>
      </w:r>
      <w:r>
        <w:t xml:space="preserve"> </w:t>
      </w:r>
      <w:r w:rsidRPr="00714F1E">
        <w:rPr>
          <w:rFonts w:ascii="Times New Roman" w:hAnsi="Times New Roman" w:cs="Times New Roman"/>
        </w:rPr>
        <w:t>See separate MFR re</w:t>
      </w:r>
      <w:r>
        <w:rPr>
          <w:rFonts w:ascii="Times New Roman" w:hAnsi="Times New Roman" w:cs="Times New Roman"/>
        </w:rPr>
        <w:t>garding</w:t>
      </w:r>
      <w:r w:rsidRPr="00714F1E">
        <w:rPr>
          <w:rFonts w:ascii="Times New Roman" w:hAnsi="Times New Roman" w:cs="Times New Roman"/>
        </w:rPr>
        <w:t xml:space="preserve"> our m</w:t>
      </w:r>
      <w:r>
        <w:rPr>
          <w:rFonts w:ascii="Times New Roman" w:hAnsi="Times New Roman" w:cs="Times New Roman"/>
        </w:rPr>
        <w:t>eeting with the Teamsters on February 23, 2010 concerning YRC</w:t>
      </w:r>
      <w:r w:rsidRPr="00714F1E">
        <w:rPr>
          <w:rFonts w:ascii="Times New Roman" w:hAnsi="Times New Roman" w:cs="Times New Roman"/>
        </w:rPr>
        <w:t xml:space="preserve"> Trucking.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F2E" w:rsidRPr="006D1F2E" w:rsidRDefault="006D1F2E" w:rsidP="006D1F2E">
    <w:pPr>
      <w:pStyle w:val="Header"/>
      <w:jc w:val="right"/>
      <w:rPr>
        <w:rFonts w:ascii="Times New Roman" w:hAnsi="Times New Roman" w:cs="Times New Roman"/>
        <w:b/>
        <w:i/>
        <w:sz w:val="24"/>
        <w:szCs w:val="24"/>
      </w:rPr>
    </w:pPr>
    <w:r w:rsidRPr="006D1F2E">
      <w:rPr>
        <w:rFonts w:ascii="Times New Roman" w:hAnsi="Times New Roman" w:cs="Times New Roman"/>
        <w:b/>
        <w:i/>
        <w:sz w:val="24"/>
        <w:szCs w:val="24"/>
      </w:rPr>
      <w:t>Confidential</w:t>
    </w:r>
  </w:p>
  <w:p w:rsidR="006D1F2E" w:rsidRPr="006D1F2E" w:rsidRDefault="006D1F2E" w:rsidP="006D1F2E">
    <w:pPr>
      <w:pStyle w:val="Header"/>
      <w:jc w:val="right"/>
      <w:rPr>
        <w:rFonts w:ascii="Times New Roman" w:hAnsi="Times New Roman" w:cs="Times New Roman"/>
        <w:b/>
        <w:i/>
        <w:sz w:val="24"/>
        <w:szCs w:val="24"/>
      </w:rPr>
    </w:pPr>
    <w:r w:rsidRPr="006D1F2E">
      <w:rPr>
        <w:rFonts w:ascii="Times New Roman" w:hAnsi="Times New Roman" w:cs="Times New Roman"/>
        <w:b/>
        <w:i/>
        <w:sz w:val="24"/>
        <w:szCs w:val="24"/>
      </w:rPr>
      <w:t>Draft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76CE1"/>
    <w:multiLevelType w:val="hybridMultilevel"/>
    <w:tmpl w:val="71765816"/>
    <w:lvl w:ilvl="0" w:tplc="69EA8E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826BDD"/>
    <w:rsid w:val="00027413"/>
    <w:rsid w:val="000E5007"/>
    <w:rsid w:val="00194F86"/>
    <w:rsid w:val="001B6480"/>
    <w:rsid w:val="001C7858"/>
    <w:rsid w:val="001D5087"/>
    <w:rsid w:val="00247E1F"/>
    <w:rsid w:val="00275526"/>
    <w:rsid w:val="00383646"/>
    <w:rsid w:val="003A26D2"/>
    <w:rsid w:val="003A4016"/>
    <w:rsid w:val="00410172"/>
    <w:rsid w:val="004B6168"/>
    <w:rsid w:val="004E352B"/>
    <w:rsid w:val="005401D3"/>
    <w:rsid w:val="00581F2A"/>
    <w:rsid w:val="00687612"/>
    <w:rsid w:val="006D1F2E"/>
    <w:rsid w:val="00714F1E"/>
    <w:rsid w:val="00792AA8"/>
    <w:rsid w:val="00795665"/>
    <w:rsid w:val="007F6C50"/>
    <w:rsid w:val="00826BDD"/>
    <w:rsid w:val="009A4E2D"/>
    <w:rsid w:val="00A02E59"/>
    <w:rsid w:val="00A61B84"/>
    <w:rsid w:val="00A94199"/>
    <w:rsid w:val="00B774F8"/>
    <w:rsid w:val="00BA19C4"/>
    <w:rsid w:val="00BE0B19"/>
    <w:rsid w:val="00BE1062"/>
    <w:rsid w:val="00D55175"/>
    <w:rsid w:val="00DB16FA"/>
    <w:rsid w:val="00E4468D"/>
    <w:rsid w:val="00E663CF"/>
    <w:rsid w:val="00F14649"/>
    <w:rsid w:val="00FF1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199"/>
    <w:pPr>
      <w:ind w:left="720"/>
      <w:contextualSpacing/>
    </w:pPr>
  </w:style>
  <w:style w:type="paragraph" w:styleId="FootnoteText">
    <w:name w:val="footnote text"/>
    <w:basedOn w:val="Normal"/>
    <w:link w:val="FootnoteTextChar"/>
    <w:uiPriority w:val="99"/>
    <w:semiHidden/>
    <w:unhideWhenUsed/>
    <w:rsid w:val="00714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F1E"/>
    <w:rPr>
      <w:sz w:val="20"/>
      <w:szCs w:val="20"/>
    </w:rPr>
  </w:style>
  <w:style w:type="character" w:styleId="FootnoteReference">
    <w:name w:val="footnote reference"/>
    <w:basedOn w:val="DefaultParagraphFont"/>
    <w:uiPriority w:val="99"/>
    <w:semiHidden/>
    <w:unhideWhenUsed/>
    <w:rsid w:val="00714F1E"/>
    <w:rPr>
      <w:vertAlign w:val="superscript"/>
    </w:rPr>
  </w:style>
  <w:style w:type="paragraph" w:styleId="Header">
    <w:name w:val="header"/>
    <w:basedOn w:val="Normal"/>
    <w:link w:val="HeaderChar"/>
    <w:uiPriority w:val="99"/>
    <w:semiHidden/>
    <w:unhideWhenUsed/>
    <w:rsid w:val="00A02E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2E59"/>
  </w:style>
  <w:style w:type="paragraph" w:styleId="Footer">
    <w:name w:val="footer"/>
    <w:basedOn w:val="Normal"/>
    <w:link w:val="FooterChar"/>
    <w:uiPriority w:val="99"/>
    <w:unhideWhenUsed/>
    <w:rsid w:val="00A02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E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EB70-4769-4D58-A389-F15CBC57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6</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szuckerman</cp:lastModifiedBy>
  <cp:revision>19</cp:revision>
  <dcterms:created xsi:type="dcterms:W3CDTF">2010-03-05T18:39:00Z</dcterms:created>
  <dcterms:modified xsi:type="dcterms:W3CDTF">2010-07-22T16:35:00Z</dcterms:modified>
</cp:coreProperties>
</file>